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DC" w:rsidRPr="006720DC" w:rsidRDefault="006720DC" w:rsidP="006720DC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6720DC">
        <w:rPr>
          <w:rFonts w:ascii="Roboto" w:hAnsi="Roboto" w:cs="Helvetica"/>
          <w:b/>
          <w:color w:val="333333"/>
          <w:sz w:val="28"/>
          <w:szCs w:val="28"/>
        </w:rPr>
        <w:t>Назначение страховой пенсии в 2020 году</w:t>
      </w:r>
    </w:p>
    <w:p w:rsidR="006720DC" w:rsidRDefault="006720DC" w:rsidP="006720D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6720DC" w:rsidRDefault="006720DC" w:rsidP="006720D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086100" cy="2247900"/>
            <wp:effectExtent l="19050" t="0" r="0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>С 2019 года в России началось поэтапное повышение общеустановленного возраста, дающего право на страховую пенсию по старости. В 2020 году на страховую пенсию могут выйти женщины по достижении возраста 55 лет 6 месяцев и мужчины по достижении 60 лет 6 месяцев. Это касается тех, кому 55 и 60 лет (соответственно женщины и мужчины) исполнилось во втором полугодии 2019 года.</w:t>
      </w:r>
    </w:p>
    <w:p w:rsidR="006720DC" w:rsidRDefault="006720DC" w:rsidP="006720D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Кроме этого, для права на страховую пенсию в 2020 году требуется не менее 11 лет стажа и 18,6 пенсионного коэффициента. Обращаем внимание, что при назначении страховой пенсии по старости на общих основаниях в стаж помимо непосредственно трудовой деятельности включаются и некоторые социально значимые периоды, за которые также начисляются коэффициенты. К таким периодам относится время ухода за ребенком до полутора лет, уход за нетрудоспособным гражданином, служба в армии.</w:t>
      </w:r>
    </w:p>
    <w:p w:rsidR="00A647AE" w:rsidRDefault="00A647AE"/>
    <w:sectPr w:rsidR="00A647AE" w:rsidSect="00A64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0DC"/>
    <w:rsid w:val="006720DC"/>
    <w:rsid w:val="00A6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0D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2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23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2020-01-14T12:35:00Z</dcterms:created>
  <dcterms:modified xsi:type="dcterms:W3CDTF">2020-01-14T12:40:00Z</dcterms:modified>
</cp:coreProperties>
</file>